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9A" w:rsidRDefault="00C70C9A">
      <w:r>
        <w:t>Survey data documenting alcohol use among aboriginals available through First Nations Centre 2005</w:t>
      </w:r>
    </w:p>
    <w:p w:rsidR="00C70C9A" w:rsidRDefault="00C70C9A"/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>Compared to the general population, the Aboriginal population has a higher percentage of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abstainers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(34 </w:t>
      </w:r>
      <w:r w:rsidRPr="00C70C9A">
        <w:rPr>
          <w:rFonts w:ascii="AdvP101884" w:hAnsi="AdvP101884"/>
          <w:color w:val="231F20"/>
          <w:sz w:val="20"/>
          <w:szCs w:val="20"/>
        </w:rPr>
        <w:t>vs</w:t>
      </w:r>
      <w:r w:rsidRPr="00C70C9A">
        <w:rPr>
          <w:rFonts w:ascii="AdvP8585" w:hAnsi="AdvP8585"/>
          <w:color w:val="231F20"/>
          <w:sz w:val="20"/>
          <w:szCs w:val="20"/>
        </w:rPr>
        <w:t>. 21%)</w:t>
      </w:r>
    </w:p>
    <w:p w:rsidR="00C70C9A" w:rsidRDefault="00C70C9A"/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there’s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a lesser portion of daily/regular drinkers and a</w:t>
      </w:r>
    </w:p>
    <w:p w:rsidR="00C70C9A" w:rsidRDefault="00C70C9A" w:rsidP="00C70C9A">
      <w:pPr>
        <w:rPr>
          <w:rFonts w:ascii="AdvP8585" w:hAnsi="AdvP8585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greater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portion of binge drinkers.</w:t>
      </w:r>
    </w:p>
    <w:p w:rsidR="00C70C9A" w:rsidRDefault="00C70C9A" w:rsidP="00C70C9A">
      <w:pPr>
        <w:rPr>
          <w:rFonts w:ascii="AdvP8585" w:hAnsi="AdvP8585"/>
          <w:color w:val="231F20"/>
          <w:sz w:val="20"/>
          <w:szCs w:val="20"/>
        </w:rPr>
      </w:pPr>
    </w:p>
    <w:p w:rsidR="00C70C9A" w:rsidRDefault="00C70C9A" w:rsidP="00C70C9A">
      <w:pPr>
        <w:rPr>
          <w:rFonts w:ascii="AdvP8585" w:hAnsi="AdvP8585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 xml:space="preserve"> Aboriginal drinkers are less than half as likely to consume</w:t>
      </w:r>
      <w:r>
        <w:rPr>
          <w:rFonts w:ascii="Tahoma" w:hAnsi="Tahoma"/>
          <w:color w:val="231F20"/>
          <w:sz w:val="20"/>
          <w:szCs w:val="20"/>
        </w:rPr>
        <w:t xml:space="preserve"> </w:t>
      </w:r>
      <w:r w:rsidRPr="00C70C9A">
        <w:rPr>
          <w:rFonts w:ascii="AdvP8585" w:hAnsi="AdvP8585"/>
          <w:color w:val="231F20"/>
          <w:sz w:val="20"/>
          <w:szCs w:val="20"/>
        </w:rPr>
        <w:t xml:space="preserve">alcohol on a weekly/daily basis (18 </w:t>
      </w:r>
      <w:r w:rsidRPr="00C70C9A">
        <w:rPr>
          <w:rFonts w:ascii="AdvP101884" w:hAnsi="AdvP101884"/>
          <w:color w:val="231F20"/>
          <w:sz w:val="20"/>
          <w:szCs w:val="20"/>
        </w:rPr>
        <w:t>vs</w:t>
      </w:r>
      <w:r w:rsidRPr="00C70C9A">
        <w:rPr>
          <w:rFonts w:ascii="AdvP8585" w:hAnsi="AdvP8585"/>
          <w:color w:val="231F20"/>
          <w:sz w:val="20"/>
          <w:szCs w:val="20"/>
        </w:rPr>
        <w:t xml:space="preserve">. 44%), but more than twice as likely to binge drink once or more per week (16 </w:t>
      </w:r>
      <w:r w:rsidRPr="00C70C9A">
        <w:rPr>
          <w:rFonts w:ascii="AdvP101884" w:hAnsi="AdvP101884"/>
          <w:color w:val="231F20"/>
          <w:sz w:val="20"/>
          <w:szCs w:val="20"/>
        </w:rPr>
        <w:t>vs</w:t>
      </w:r>
      <w:r w:rsidRPr="00C70C9A">
        <w:rPr>
          <w:rFonts w:ascii="AdvP8585" w:hAnsi="AdvP8585"/>
          <w:color w:val="231F20"/>
          <w:sz w:val="20"/>
          <w:szCs w:val="20"/>
        </w:rPr>
        <w:t>. 6%)</w:t>
      </w:r>
    </w:p>
    <w:p w:rsidR="00C70C9A" w:rsidRDefault="00C70C9A" w:rsidP="00C70C9A">
      <w:pPr>
        <w:rPr>
          <w:rFonts w:ascii="AdvP8585" w:hAnsi="AdvP8585"/>
          <w:color w:val="231F20"/>
          <w:sz w:val="20"/>
          <w:szCs w:val="20"/>
        </w:rPr>
      </w:pP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>Aboriginal</w:t>
      </w:r>
      <w:r>
        <w:rPr>
          <w:rFonts w:ascii="Tahoma" w:hAnsi="Tahoma"/>
          <w:color w:val="231F20"/>
          <w:sz w:val="20"/>
          <w:szCs w:val="20"/>
        </w:rPr>
        <w:t xml:space="preserve"> </w:t>
      </w:r>
      <w:r w:rsidRPr="00C70C9A">
        <w:rPr>
          <w:rFonts w:ascii="AdvP8585" w:hAnsi="AdvP8585"/>
          <w:color w:val="231F20"/>
          <w:sz w:val="20"/>
          <w:szCs w:val="20"/>
        </w:rPr>
        <w:t>male drinkers are twice as likely to binge</w:t>
      </w:r>
      <w:r>
        <w:rPr>
          <w:rFonts w:ascii="AdvP8585" w:hAnsi="AdvP8585"/>
          <w:color w:val="231F20"/>
          <w:sz w:val="20"/>
          <w:szCs w:val="20"/>
        </w:rPr>
        <w:t xml:space="preserve"> drink</w:t>
      </w:r>
      <w:r w:rsidRPr="00C70C9A">
        <w:rPr>
          <w:rFonts w:ascii="AdvP8585" w:hAnsi="AdvP8585"/>
          <w:color w:val="231F20"/>
          <w:sz w:val="20"/>
          <w:szCs w:val="20"/>
        </w:rPr>
        <w:t xml:space="preserve"> on a weekly basis as their female counterparts</w:t>
      </w:r>
    </w:p>
    <w:p w:rsidR="00C70C9A" w:rsidRDefault="00C70C9A" w:rsidP="00C70C9A">
      <w:pPr>
        <w:rPr>
          <w:rFonts w:ascii="AdvP8585" w:hAnsi="AdvP8585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 xml:space="preserve">(21 </w:t>
      </w:r>
      <w:r w:rsidRPr="00C70C9A">
        <w:rPr>
          <w:rFonts w:ascii="AdvP101884" w:hAnsi="AdvP101884"/>
          <w:color w:val="231F20"/>
          <w:sz w:val="20"/>
          <w:szCs w:val="20"/>
        </w:rPr>
        <w:t>vs</w:t>
      </w:r>
      <w:r w:rsidRPr="00C70C9A">
        <w:rPr>
          <w:rFonts w:ascii="AdvP8585" w:hAnsi="AdvP8585"/>
          <w:color w:val="231F20"/>
          <w:sz w:val="20"/>
          <w:szCs w:val="20"/>
        </w:rPr>
        <w:t>. 10%).</w:t>
      </w:r>
      <w:proofErr w:type="gramEnd"/>
    </w:p>
    <w:p w:rsidR="00C70C9A" w:rsidRDefault="00C70C9A" w:rsidP="00C70C9A">
      <w:pPr>
        <w:rPr>
          <w:rFonts w:ascii="AdvP8585" w:hAnsi="AdvP8585"/>
          <w:color w:val="231F20"/>
          <w:sz w:val="20"/>
          <w:szCs w:val="20"/>
        </w:rPr>
      </w:pP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>Data from a report released by the Provincial Health Officer of BC (British Columbia,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>Provincial Health Officer 2002) indicate that the aforementioned levels and patterns of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drinking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are associated with a high burden of disease within the Aboriginal population.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 xml:space="preserve">There is a high rate of alcohol-related deaths and </w:t>
      </w:r>
      <w:proofErr w:type="spellStart"/>
      <w:r w:rsidRPr="00C70C9A">
        <w:rPr>
          <w:rFonts w:ascii="AdvP8585" w:hAnsi="AdvP8585"/>
          <w:color w:val="231F20"/>
          <w:sz w:val="20"/>
          <w:szCs w:val="20"/>
        </w:rPr>
        <w:t>hospitalisations</w:t>
      </w:r>
      <w:proofErr w:type="spellEnd"/>
      <w:r w:rsidRPr="00C70C9A">
        <w:rPr>
          <w:rFonts w:ascii="AdvP8585" w:hAnsi="AdvP8585"/>
          <w:color w:val="231F20"/>
          <w:sz w:val="20"/>
          <w:szCs w:val="20"/>
        </w:rPr>
        <w:t xml:space="preserve"> compared to the general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population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>, and alcohol is considered a contributing factor in almost 40% of accidental and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violent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Aboriginal deaths.</w:t>
      </w:r>
    </w:p>
    <w:p w:rsidR="00C70C9A" w:rsidRDefault="00C70C9A" w:rsidP="00C70C9A">
      <w:pPr>
        <w:rPr>
          <w:rFonts w:ascii="Tahoma" w:hAnsi="Tahoma"/>
          <w:color w:val="231F20"/>
          <w:sz w:val="20"/>
          <w:szCs w:val="20"/>
        </w:rPr>
      </w:pP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>During the last decade of the 20th century, 38% of registered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status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Aboriginal deaths in BC were related to alcohol use while the comparable value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proofErr w:type="gramStart"/>
      <w:r w:rsidRPr="00C70C9A">
        <w:rPr>
          <w:rFonts w:ascii="AdvP8585" w:hAnsi="AdvP8585"/>
          <w:color w:val="231F20"/>
          <w:sz w:val="20"/>
          <w:szCs w:val="20"/>
        </w:rPr>
        <w:t>was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16% for other BC residents.</w:t>
      </w:r>
    </w:p>
    <w:p w:rsidR="00C70C9A" w:rsidRDefault="00C70C9A" w:rsidP="00C70C9A">
      <w:pPr>
        <w:rPr>
          <w:rFonts w:ascii="Tahoma" w:hAnsi="Tahoma"/>
          <w:color w:val="231F20"/>
          <w:sz w:val="20"/>
          <w:szCs w:val="20"/>
        </w:rPr>
      </w:pP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AdvP8585" w:hAnsi="AdvP8585"/>
          <w:color w:val="231F20"/>
          <w:sz w:val="20"/>
          <w:szCs w:val="20"/>
        </w:rPr>
        <w:t>Anderson, J. F. (2007). Screening and brief intervention for hazardous alcohol use within Indigenous populations: Potential solution or impossible dream</w:t>
      </w:r>
      <w:proofErr w:type="gramStart"/>
      <w:r w:rsidRPr="00C70C9A">
        <w:rPr>
          <w:rFonts w:ascii="AdvP8585" w:hAnsi="AdvP8585"/>
          <w:color w:val="231F20"/>
          <w:sz w:val="20"/>
          <w:szCs w:val="20"/>
        </w:rPr>
        <w:t>?.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</w:t>
      </w:r>
      <w:proofErr w:type="gramStart"/>
      <w:r w:rsidRPr="00C70C9A">
        <w:rPr>
          <w:rFonts w:ascii="AdvP8585" w:hAnsi="AdvP8585"/>
          <w:i/>
          <w:color w:val="231F20"/>
          <w:sz w:val="20"/>
          <w:szCs w:val="20"/>
        </w:rPr>
        <w:t>Addiction Research &amp; Theory</w:t>
      </w:r>
      <w:r w:rsidRPr="00C70C9A">
        <w:rPr>
          <w:rFonts w:ascii="AdvP8585" w:hAnsi="AdvP8585"/>
          <w:color w:val="231F20"/>
          <w:sz w:val="20"/>
          <w:szCs w:val="20"/>
        </w:rPr>
        <w:t xml:space="preserve">, </w:t>
      </w:r>
      <w:r w:rsidRPr="00C70C9A">
        <w:rPr>
          <w:rFonts w:ascii="AdvP8585" w:hAnsi="AdvP8585"/>
          <w:i/>
          <w:color w:val="231F20"/>
          <w:sz w:val="20"/>
          <w:szCs w:val="20"/>
        </w:rPr>
        <w:t>15</w:t>
      </w:r>
      <w:r w:rsidRPr="00C70C9A">
        <w:rPr>
          <w:rFonts w:ascii="AdvP8585" w:hAnsi="AdvP8585"/>
          <w:color w:val="231F20"/>
          <w:sz w:val="20"/>
          <w:szCs w:val="20"/>
        </w:rPr>
        <w:t>(5), 439-448.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 xml:space="preserve"> </w:t>
      </w:r>
      <w:proofErr w:type="gramStart"/>
      <w:r w:rsidRPr="00C70C9A">
        <w:rPr>
          <w:rFonts w:ascii="AdvP8585" w:hAnsi="AdvP8585"/>
          <w:color w:val="231F20"/>
          <w:sz w:val="20"/>
          <w:szCs w:val="20"/>
        </w:rPr>
        <w:t>doi:10.1080</w:t>
      </w:r>
      <w:proofErr w:type="gramEnd"/>
      <w:r w:rsidRPr="00C70C9A">
        <w:rPr>
          <w:rFonts w:ascii="AdvP8585" w:hAnsi="AdvP8585"/>
          <w:color w:val="231F20"/>
          <w:sz w:val="20"/>
          <w:szCs w:val="20"/>
        </w:rPr>
        <w:t>/16066350701219210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  <w:r w:rsidRPr="00C70C9A">
        <w:rPr>
          <w:rFonts w:ascii="Tahoma" w:hAnsi="Tahoma"/>
          <w:color w:val="231F20"/>
          <w:sz w:val="20"/>
          <w:szCs w:val="20"/>
        </w:rPr>
        <w:t> </w:t>
      </w: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</w:p>
    <w:p w:rsidR="00C70C9A" w:rsidRPr="00C70C9A" w:rsidRDefault="00C70C9A" w:rsidP="00C70C9A">
      <w:pPr>
        <w:rPr>
          <w:rFonts w:ascii="Tahoma" w:hAnsi="Tahoma"/>
          <w:color w:val="231F20"/>
          <w:sz w:val="20"/>
          <w:szCs w:val="20"/>
        </w:rPr>
      </w:pPr>
    </w:p>
    <w:p w:rsidR="00EE276A" w:rsidRDefault="00C70C9A"/>
    <w:sectPr w:rsidR="00EE276A" w:rsidSect="00F27C2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dvP8585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dvP101884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70C9A"/>
    <w:rsid w:val="00C70C9A"/>
  </w:rsids>
  <m:mathPr>
    <m:mathFont m:val="AdvP8585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1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0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humber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adam clark</cp:lastModifiedBy>
  <cp:revision>1</cp:revision>
  <dcterms:created xsi:type="dcterms:W3CDTF">2011-11-04T15:56:00Z</dcterms:created>
  <dcterms:modified xsi:type="dcterms:W3CDTF">2011-11-04T16:05:00Z</dcterms:modified>
</cp:coreProperties>
</file>